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EE4AFA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HAF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3201">
        <w:rPr>
          <w:rFonts w:ascii="Arial" w:hAnsi="Arial" w:cs="Arial"/>
          <w:b/>
          <w:sz w:val="20"/>
          <w:szCs w:val="20"/>
        </w:rPr>
        <w:t>A</w:t>
      </w:r>
      <w:r w:rsidR="00E43201" w:rsidRPr="00E43201">
        <w:rPr>
          <w:rFonts w:ascii="Arial" w:hAnsi="Arial" w:cs="Arial"/>
          <w:b/>
          <w:sz w:val="20"/>
          <w:szCs w:val="20"/>
        </w:rPr>
        <w:t>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14EC9">
        <w:rPr>
          <w:rFonts w:ascii="Arial" w:hAnsi="Arial" w:cs="Arial"/>
          <w:sz w:val="20"/>
          <w:szCs w:val="20"/>
        </w:rPr>
        <w:t>30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E4AFA" w:rsidRPr="00EE4AFA">
        <w:rPr>
          <w:rFonts w:ascii="Arial" w:hAnsi="Arial" w:cs="Arial"/>
          <w:sz w:val="20"/>
          <w:szCs w:val="20"/>
        </w:rPr>
        <w:t>Hanoi Foodstuff Joint Stock Company</w:t>
      </w:r>
      <w:r w:rsidR="00EE4AFA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F38AB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EE4AFA" w:rsidRDefault="00EE4AFA" w:rsidP="00EE4A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AFA">
        <w:rPr>
          <w:rFonts w:ascii="Arial" w:hAnsi="Arial" w:cs="Arial"/>
          <w:sz w:val="20"/>
          <w:szCs w:val="20"/>
        </w:rPr>
        <w:t xml:space="preserve">Article 1. The </w:t>
      </w:r>
      <w:r>
        <w:rPr>
          <w:rFonts w:ascii="Arial" w:hAnsi="Arial" w:cs="Arial"/>
          <w:sz w:val="20"/>
          <w:szCs w:val="20"/>
        </w:rPr>
        <w:t xml:space="preserve">annual General Meeting of Shareholders of </w:t>
      </w:r>
      <w:r w:rsidRPr="00EE4AFA">
        <w:rPr>
          <w:rFonts w:ascii="Arial" w:hAnsi="Arial" w:cs="Arial"/>
          <w:sz w:val="20"/>
          <w:szCs w:val="20"/>
        </w:rPr>
        <w:t>Hanoi Foodstuff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EE4AFA">
        <w:rPr>
          <w:rFonts w:ascii="Arial" w:hAnsi="Arial" w:cs="Arial"/>
          <w:sz w:val="20"/>
          <w:szCs w:val="20"/>
        </w:rPr>
        <w:t xml:space="preserve">approved the following contents: </w:t>
      </w:r>
    </w:p>
    <w:p w:rsidR="00EE4AFA" w:rsidRDefault="00EE4AFA" w:rsidP="00EE4A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The annual General Meeting of Shareholders approved the Report No.73/BC-BDH</w:t>
      </w:r>
      <w:r w:rsidRPr="00EE4AFA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>Management Board</w:t>
      </w:r>
      <w:r w:rsidRPr="00EE4AFA">
        <w:rPr>
          <w:rFonts w:ascii="Arial" w:hAnsi="Arial" w:cs="Arial"/>
          <w:sz w:val="20"/>
          <w:szCs w:val="20"/>
        </w:rPr>
        <w:t xml:space="preserve"> on the results of production and business activities in 2019 and directions and tasks in 2020 with the following main contents:</w:t>
      </w:r>
    </w:p>
    <w:p w:rsidR="00EE4AFA" w:rsidRDefault="00EE4AFA" w:rsidP="00EE4A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AFA">
        <w:rPr>
          <w:rFonts w:ascii="Arial" w:hAnsi="Arial" w:cs="Arial"/>
          <w:sz w:val="20"/>
          <w:szCs w:val="20"/>
        </w:rPr>
        <w:t xml:space="preserve">* Results of the implementation of the targets </w:t>
      </w:r>
      <w:r>
        <w:rPr>
          <w:rFonts w:ascii="Arial" w:hAnsi="Arial" w:cs="Arial"/>
          <w:sz w:val="20"/>
          <w:szCs w:val="20"/>
        </w:rPr>
        <w:t>of production and business plan for</w:t>
      </w:r>
      <w:r w:rsidRPr="00EE4AFA">
        <w:rPr>
          <w:rFonts w:ascii="Arial" w:hAnsi="Arial" w:cs="Arial"/>
          <w:sz w:val="20"/>
          <w:szCs w:val="20"/>
        </w:rPr>
        <w:t xml:space="preserve"> 2019: </w:t>
      </w:r>
    </w:p>
    <w:p w:rsidR="00EE4AFA" w:rsidRDefault="00EE4AFA" w:rsidP="00EE4A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AFA">
        <w:rPr>
          <w:rFonts w:ascii="Arial" w:hAnsi="Arial" w:cs="Arial"/>
          <w:sz w:val="20"/>
          <w:szCs w:val="20"/>
        </w:rPr>
        <w:t xml:space="preserve">- Total revenue and other income: </w:t>
      </w:r>
      <w:r>
        <w:rPr>
          <w:rFonts w:ascii="Arial" w:hAnsi="Arial" w:cs="Arial"/>
          <w:sz w:val="20"/>
          <w:szCs w:val="20"/>
        </w:rPr>
        <w:t>VND 164.</w:t>
      </w:r>
      <w:r w:rsidRPr="00EE4AFA">
        <w:rPr>
          <w:rFonts w:ascii="Arial" w:hAnsi="Arial" w:cs="Arial"/>
          <w:sz w:val="20"/>
          <w:szCs w:val="20"/>
        </w:rPr>
        <w:t xml:space="preserve">052 billion </w:t>
      </w:r>
    </w:p>
    <w:p w:rsidR="00EE4AFA" w:rsidRDefault="00EE4AFA" w:rsidP="00EE4A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AFA">
        <w:rPr>
          <w:rFonts w:ascii="Arial" w:hAnsi="Arial" w:cs="Arial"/>
          <w:sz w:val="20"/>
          <w:szCs w:val="20"/>
        </w:rPr>
        <w:t xml:space="preserve">- Profit before tax: </w:t>
      </w:r>
      <w:r>
        <w:rPr>
          <w:rFonts w:ascii="Arial" w:hAnsi="Arial" w:cs="Arial"/>
          <w:sz w:val="20"/>
          <w:szCs w:val="20"/>
        </w:rPr>
        <w:t>VND 3.</w:t>
      </w:r>
      <w:r w:rsidRPr="00EE4AFA">
        <w:rPr>
          <w:rFonts w:ascii="Arial" w:hAnsi="Arial" w:cs="Arial"/>
          <w:sz w:val="20"/>
          <w:szCs w:val="20"/>
        </w:rPr>
        <w:t xml:space="preserve">272 billion </w:t>
      </w:r>
    </w:p>
    <w:p w:rsidR="00EE4AFA" w:rsidRDefault="00EE4AFA" w:rsidP="00EE4A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AFA">
        <w:rPr>
          <w:rFonts w:ascii="Arial" w:hAnsi="Arial" w:cs="Arial"/>
          <w:sz w:val="20"/>
          <w:szCs w:val="20"/>
        </w:rPr>
        <w:t>* Busi</w:t>
      </w:r>
      <w:r>
        <w:rPr>
          <w:rFonts w:ascii="Arial" w:hAnsi="Arial" w:cs="Arial"/>
          <w:sz w:val="20"/>
          <w:szCs w:val="20"/>
        </w:rPr>
        <w:t>ness targets of the year 2020</w:t>
      </w:r>
    </w:p>
    <w:p w:rsidR="00EE4AFA" w:rsidRDefault="00EE4AFA" w:rsidP="00EE4A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AFA">
        <w:rPr>
          <w:rFonts w:ascii="Arial" w:hAnsi="Arial" w:cs="Arial"/>
          <w:sz w:val="20"/>
          <w:szCs w:val="20"/>
        </w:rPr>
        <w:t>- Total re</w:t>
      </w:r>
      <w:r>
        <w:rPr>
          <w:rFonts w:ascii="Arial" w:hAnsi="Arial" w:cs="Arial"/>
          <w:sz w:val="20"/>
          <w:szCs w:val="20"/>
        </w:rPr>
        <w:t>venue and other income: VND 229.</w:t>
      </w:r>
      <w:r w:rsidRPr="00EE4AFA">
        <w:rPr>
          <w:rFonts w:ascii="Arial" w:hAnsi="Arial" w:cs="Arial"/>
          <w:sz w:val="20"/>
          <w:szCs w:val="20"/>
        </w:rPr>
        <w:t xml:space="preserve">352 billion </w:t>
      </w:r>
    </w:p>
    <w:p w:rsidR="00EE4AFA" w:rsidRDefault="00EE4AFA" w:rsidP="00EE4A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before tax: VND 5.</w:t>
      </w:r>
      <w:r w:rsidRPr="00EE4AFA">
        <w:rPr>
          <w:rFonts w:ascii="Arial" w:hAnsi="Arial" w:cs="Arial"/>
          <w:sz w:val="20"/>
          <w:szCs w:val="20"/>
        </w:rPr>
        <w:t xml:space="preserve">854 billion </w:t>
      </w:r>
    </w:p>
    <w:p w:rsidR="00EE4AFA" w:rsidRDefault="00EE4AFA" w:rsidP="00EE4A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AFA">
        <w:rPr>
          <w:rFonts w:ascii="Arial" w:hAnsi="Arial" w:cs="Arial"/>
          <w:sz w:val="20"/>
          <w:szCs w:val="20"/>
        </w:rPr>
        <w:t xml:space="preserve">- Dividend ratio: 2% (The target of revenue and profit is based on figures </w:t>
      </w:r>
      <w:r>
        <w:rPr>
          <w:rFonts w:ascii="Arial" w:hAnsi="Arial" w:cs="Arial"/>
          <w:sz w:val="20"/>
          <w:szCs w:val="20"/>
        </w:rPr>
        <w:t xml:space="preserve">in the plan </w:t>
      </w:r>
      <w:r w:rsidRPr="00EE4AFA">
        <w:rPr>
          <w:rFonts w:ascii="Arial" w:hAnsi="Arial" w:cs="Arial"/>
          <w:sz w:val="20"/>
          <w:szCs w:val="20"/>
        </w:rPr>
        <w:t xml:space="preserve">at the beginning of the year including the </w:t>
      </w:r>
      <w:r>
        <w:rPr>
          <w:rFonts w:ascii="Arial" w:hAnsi="Arial" w:cs="Arial"/>
          <w:sz w:val="20"/>
          <w:szCs w:val="20"/>
        </w:rPr>
        <w:t>effectiveness</w:t>
      </w:r>
      <w:r w:rsidRPr="00EE4AFA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EE4AFA">
        <w:rPr>
          <w:rFonts w:ascii="Arial" w:hAnsi="Arial" w:cs="Arial"/>
          <w:sz w:val="20"/>
          <w:szCs w:val="20"/>
        </w:rPr>
        <w:t>physiolac</w:t>
      </w:r>
      <w:proofErr w:type="spellEnd"/>
      <w:r w:rsidRPr="00EE4AFA">
        <w:rPr>
          <w:rFonts w:ascii="Arial" w:hAnsi="Arial" w:cs="Arial"/>
          <w:sz w:val="20"/>
          <w:szCs w:val="20"/>
        </w:rPr>
        <w:t xml:space="preserve"> milk business plan expected to be implemented from the beginning of 2020) </w:t>
      </w:r>
    </w:p>
    <w:p w:rsidR="00EE4AFA" w:rsidRDefault="00EE4AFA" w:rsidP="00EE4A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AF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EE4AFA">
        <w:rPr>
          <w:rFonts w:ascii="Arial" w:hAnsi="Arial" w:cs="Arial"/>
          <w:sz w:val="20"/>
          <w:szCs w:val="20"/>
        </w:rPr>
        <w:t xml:space="preserve"> agreed to authorize the Company's Board of Directors to</w:t>
      </w:r>
      <w:r>
        <w:rPr>
          <w:rFonts w:ascii="Arial" w:hAnsi="Arial" w:cs="Arial"/>
          <w:sz w:val="20"/>
          <w:szCs w:val="20"/>
        </w:rPr>
        <w:t xml:space="preserve"> consider, approve </w:t>
      </w:r>
      <w:r w:rsidRPr="00EE4AFA">
        <w:rPr>
          <w:rFonts w:ascii="Arial" w:hAnsi="Arial" w:cs="Arial"/>
          <w:sz w:val="20"/>
          <w:szCs w:val="20"/>
        </w:rPr>
        <w:t>adjust</w:t>
      </w:r>
      <w:r>
        <w:rPr>
          <w:rFonts w:ascii="Arial" w:hAnsi="Arial" w:cs="Arial"/>
          <w:sz w:val="20"/>
          <w:szCs w:val="20"/>
        </w:rPr>
        <w:t>ments to</w:t>
      </w:r>
      <w:r w:rsidRPr="00EE4AFA">
        <w:rPr>
          <w:rFonts w:ascii="Arial" w:hAnsi="Arial" w:cs="Arial"/>
          <w:sz w:val="20"/>
          <w:szCs w:val="20"/>
        </w:rPr>
        <w:t xml:space="preserve"> the business and production plan of 2020 in accorda</w:t>
      </w:r>
      <w:r>
        <w:rPr>
          <w:rFonts w:ascii="Arial" w:hAnsi="Arial" w:cs="Arial"/>
          <w:sz w:val="20"/>
          <w:szCs w:val="20"/>
        </w:rPr>
        <w:t>nce with the actual situation</w:t>
      </w:r>
    </w:p>
    <w:p w:rsidR="00EE4AFA" w:rsidRDefault="00EE4AFA" w:rsidP="00EE4A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AFA">
        <w:rPr>
          <w:rFonts w:ascii="Arial" w:hAnsi="Arial" w:cs="Arial"/>
          <w:sz w:val="20"/>
          <w:szCs w:val="20"/>
        </w:rPr>
        <w:t xml:space="preserve">2. The </w:t>
      </w:r>
      <w:r>
        <w:rPr>
          <w:rFonts w:ascii="Arial" w:hAnsi="Arial" w:cs="Arial"/>
          <w:sz w:val="20"/>
          <w:szCs w:val="20"/>
        </w:rPr>
        <w:t>annual General Meeting of Shareholders approved Report No.03/BC-</w:t>
      </w:r>
      <w:r w:rsidRPr="00EE4AFA">
        <w:rPr>
          <w:rFonts w:ascii="Arial" w:hAnsi="Arial" w:cs="Arial"/>
          <w:sz w:val="20"/>
          <w:szCs w:val="20"/>
        </w:rPr>
        <w:t xml:space="preserve">HDQT of the Board of Directors on the activities of the Board of Directors in 2019 and </w:t>
      </w:r>
      <w:r>
        <w:rPr>
          <w:rFonts w:ascii="Arial" w:hAnsi="Arial" w:cs="Arial"/>
          <w:sz w:val="20"/>
          <w:szCs w:val="20"/>
        </w:rPr>
        <w:t xml:space="preserve">summary of </w:t>
      </w:r>
      <w:r w:rsidRPr="00EE4AFA">
        <w:rPr>
          <w:rFonts w:ascii="Arial" w:hAnsi="Arial" w:cs="Arial"/>
          <w:sz w:val="20"/>
          <w:szCs w:val="20"/>
        </w:rPr>
        <w:t xml:space="preserve">the term of the 2015-2020 term; </w:t>
      </w:r>
      <w:r>
        <w:rPr>
          <w:rFonts w:ascii="Arial" w:hAnsi="Arial" w:cs="Arial"/>
          <w:sz w:val="20"/>
          <w:szCs w:val="20"/>
        </w:rPr>
        <w:t>Work plan for 2020</w:t>
      </w:r>
    </w:p>
    <w:p w:rsidR="00EE4AFA" w:rsidRDefault="00EE4AFA" w:rsidP="00EE4A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EE4AF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 approved</w:t>
      </w:r>
      <w:r w:rsidRPr="00EE4AFA">
        <w:rPr>
          <w:rFonts w:ascii="Arial" w:hAnsi="Arial" w:cs="Arial"/>
          <w:sz w:val="20"/>
          <w:szCs w:val="20"/>
        </w:rPr>
        <w:t xml:space="preserve"> the Superv</w:t>
      </w:r>
      <w:r>
        <w:rPr>
          <w:rFonts w:ascii="Arial" w:hAnsi="Arial" w:cs="Arial"/>
          <w:sz w:val="20"/>
          <w:szCs w:val="20"/>
        </w:rPr>
        <w:t>isory Board's Report on the 2019</w:t>
      </w:r>
      <w:r w:rsidRPr="00EE4AFA">
        <w:rPr>
          <w:rFonts w:ascii="Arial" w:hAnsi="Arial" w:cs="Arial"/>
          <w:sz w:val="20"/>
          <w:szCs w:val="20"/>
        </w:rPr>
        <w:t xml:space="preserve"> operating results and </w:t>
      </w:r>
      <w:r>
        <w:rPr>
          <w:rFonts w:ascii="Arial" w:hAnsi="Arial" w:cs="Arial"/>
          <w:sz w:val="20"/>
          <w:szCs w:val="20"/>
        </w:rPr>
        <w:t xml:space="preserve">summary of </w:t>
      </w:r>
      <w:r w:rsidRPr="00EE4AFA">
        <w:rPr>
          <w:rFonts w:ascii="Arial" w:hAnsi="Arial" w:cs="Arial"/>
          <w:sz w:val="20"/>
          <w:szCs w:val="20"/>
        </w:rPr>
        <w:t xml:space="preserve">the 2015-2020 term; </w:t>
      </w:r>
      <w:r>
        <w:rPr>
          <w:rFonts w:ascii="Arial" w:hAnsi="Arial" w:cs="Arial"/>
          <w:sz w:val="20"/>
          <w:szCs w:val="20"/>
        </w:rPr>
        <w:t>Work plan for 2020</w:t>
      </w:r>
    </w:p>
    <w:p w:rsidR="00EE4AFA" w:rsidRDefault="00EE4AFA" w:rsidP="00EE4A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EE4AF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EE4AFA">
        <w:rPr>
          <w:rFonts w:ascii="Arial" w:hAnsi="Arial" w:cs="Arial"/>
          <w:sz w:val="20"/>
          <w:szCs w:val="20"/>
        </w:rPr>
        <w:t xml:space="preserve"> passed the audited </w:t>
      </w:r>
      <w:r>
        <w:rPr>
          <w:rFonts w:ascii="Arial" w:hAnsi="Arial" w:cs="Arial"/>
          <w:sz w:val="20"/>
          <w:szCs w:val="20"/>
        </w:rPr>
        <w:t>financial statement of</w:t>
      </w:r>
      <w:r w:rsidRPr="00EE4AFA">
        <w:rPr>
          <w:rFonts w:ascii="Arial" w:hAnsi="Arial" w:cs="Arial"/>
          <w:sz w:val="20"/>
          <w:szCs w:val="20"/>
        </w:rPr>
        <w:t xml:space="preserve"> 2019 according to </w:t>
      </w:r>
      <w:r>
        <w:rPr>
          <w:rFonts w:ascii="Arial" w:hAnsi="Arial" w:cs="Arial"/>
          <w:sz w:val="20"/>
          <w:szCs w:val="20"/>
        </w:rPr>
        <w:t>Statement No.04/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Pr="00EE4AFA">
        <w:rPr>
          <w:rFonts w:ascii="Arial" w:hAnsi="Arial" w:cs="Arial"/>
          <w:sz w:val="20"/>
          <w:szCs w:val="20"/>
        </w:rPr>
        <w:t xml:space="preserve">HDQT with some basic </w:t>
      </w:r>
      <w:r w:rsidR="009259C7">
        <w:rPr>
          <w:rFonts w:ascii="Arial" w:hAnsi="Arial" w:cs="Arial"/>
          <w:sz w:val="20"/>
          <w:szCs w:val="20"/>
        </w:rPr>
        <w:t>indicators</w:t>
      </w:r>
      <w:r w:rsidRPr="00EE4AFA">
        <w:rPr>
          <w:rFonts w:ascii="Arial" w:hAnsi="Arial" w:cs="Arial"/>
          <w:sz w:val="20"/>
          <w:szCs w:val="20"/>
        </w:rPr>
        <w:t xml:space="preserve">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2394"/>
        <w:gridCol w:w="2394"/>
      </w:tblGrid>
      <w:tr w:rsidR="009259C7" w:rsidTr="009259C7">
        <w:tc>
          <w:tcPr>
            <w:tcW w:w="558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30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indicators</w:t>
            </w:r>
          </w:p>
        </w:tc>
        <w:tc>
          <w:tcPr>
            <w:tcW w:w="2394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Consolidated financial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statement </w:t>
            </w:r>
          </w:p>
        </w:tc>
        <w:tc>
          <w:tcPr>
            <w:tcW w:w="2394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Separate financial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statement </w:t>
            </w:r>
          </w:p>
        </w:tc>
      </w:tr>
      <w:tr w:rsidR="009259C7" w:rsidTr="009259C7">
        <w:tc>
          <w:tcPr>
            <w:tcW w:w="558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</w:p>
        </w:tc>
        <w:tc>
          <w:tcPr>
            <w:tcW w:w="4230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Financial statement </w:t>
            </w:r>
          </w:p>
        </w:tc>
        <w:tc>
          <w:tcPr>
            <w:tcW w:w="2394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9C7" w:rsidTr="009259C7">
        <w:tc>
          <w:tcPr>
            <w:tcW w:w="558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30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assets</w:t>
            </w:r>
          </w:p>
        </w:tc>
        <w:tc>
          <w:tcPr>
            <w:tcW w:w="2394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FA">
              <w:rPr>
                <w:rFonts w:ascii="Arial" w:hAnsi="Arial" w:cs="Arial"/>
                <w:sz w:val="20"/>
                <w:szCs w:val="20"/>
              </w:rPr>
              <w:t>218,798,732,216</w:t>
            </w:r>
          </w:p>
        </w:tc>
        <w:tc>
          <w:tcPr>
            <w:tcW w:w="2394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FA">
              <w:rPr>
                <w:rFonts w:ascii="Arial" w:hAnsi="Arial" w:cs="Arial"/>
                <w:sz w:val="20"/>
                <w:szCs w:val="20"/>
              </w:rPr>
              <w:t>182,491,888,201</w:t>
            </w:r>
          </w:p>
        </w:tc>
      </w:tr>
      <w:tr w:rsidR="009259C7" w:rsidTr="009259C7">
        <w:tc>
          <w:tcPr>
            <w:tcW w:w="558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230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capital resources</w:t>
            </w:r>
          </w:p>
        </w:tc>
        <w:tc>
          <w:tcPr>
            <w:tcW w:w="2394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FA">
              <w:rPr>
                <w:rFonts w:ascii="Arial" w:hAnsi="Arial" w:cs="Arial"/>
                <w:sz w:val="20"/>
                <w:szCs w:val="20"/>
              </w:rPr>
              <w:t>218,798,732,216</w:t>
            </w:r>
          </w:p>
        </w:tc>
        <w:tc>
          <w:tcPr>
            <w:tcW w:w="2394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FA">
              <w:rPr>
                <w:rFonts w:ascii="Arial" w:hAnsi="Arial" w:cs="Arial"/>
                <w:sz w:val="20"/>
                <w:szCs w:val="20"/>
              </w:rPr>
              <w:t>182,491,888,201</w:t>
            </w:r>
          </w:p>
        </w:tc>
      </w:tr>
      <w:tr w:rsidR="009259C7" w:rsidTr="009259C7">
        <w:tc>
          <w:tcPr>
            <w:tcW w:w="558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30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Operation result </w:t>
            </w:r>
          </w:p>
        </w:tc>
        <w:tc>
          <w:tcPr>
            <w:tcW w:w="2394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9C7" w:rsidTr="009259C7">
        <w:tc>
          <w:tcPr>
            <w:tcW w:w="558" w:type="dxa"/>
          </w:tcPr>
          <w:p w:rsidR="009259C7" w:rsidRDefault="009259C7" w:rsidP="009259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30" w:type="dxa"/>
          </w:tcPr>
          <w:p w:rsidR="009259C7" w:rsidRDefault="009259C7" w:rsidP="009259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from selling goods and services</w:t>
            </w:r>
          </w:p>
        </w:tc>
        <w:tc>
          <w:tcPr>
            <w:tcW w:w="2394" w:type="dxa"/>
          </w:tcPr>
          <w:p w:rsidR="009259C7" w:rsidRDefault="009259C7" w:rsidP="009259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FA">
              <w:rPr>
                <w:rFonts w:ascii="Arial" w:hAnsi="Arial" w:cs="Arial"/>
                <w:sz w:val="20"/>
                <w:szCs w:val="20"/>
              </w:rPr>
              <w:t>166,976,101,230</w:t>
            </w:r>
          </w:p>
        </w:tc>
        <w:tc>
          <w:tcPr>
            <w:tcW w:w="2394" w:type="dxa"/>
          </w:tcPr>
          <w:p w:rsidR="009259C7" w:rsidRDefault="009259C7" w:rsidP="009259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FA">
              <w:rPr>
                <w:rFonts w:ascii="Arial" w:hAnsi="Arial" w:cs="Arial"/>
                <w:sz w:val="20"/>
                <w:szCs w:val="20"/>
              </w:rPr>
              <w:t>163,358,385,840</w:t>
            </w:r>
          </w:p>
        </w:tc>
      </w:tr>
      <w:tr w:rsidR="009259C7" w:rsidTr="009259C7">
        <w:tc>
          <w:tcPr>
            <w:tcW w:w="558" w:type="dxa"/>
          </w:tcPr>
          <w:p w:rsidR="009259C7" w:rsidRDefault="009259C7" w:rsidP="009259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230" w:type="dxa"/>
          </w:tcPr>
          <w:p w:rsidR="009259C7" w:rsidRDefault="009259C7" w:rsidP="009259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2394" w:type="dxa"/>
          </w:tcPr>
          <w:p w:rsidR="009259C7" w:rsidRDefault="009259C7" w:rsidP="009259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FA">
              <w:rPr>
                <w:rFonts w:ascii="Arial" w:hAnsi="Arial" w:cs="Arial"/>
                <w:sz w:val="20"/>
                <w:szCs w:val="20"/>
              </w:rPr>
              <w:t>4,160,794,486</w:t>
            </w:r>
          </w:p>
        </w:tc>
        <w:tc>
          <w:tcPr>
            <w:tcW w:w="2394" w:type="dxa"/>
          </w:tcPr>
          <w:p w:rsidR="009259C7" w:rsidRDefault="009259C7" w:rsidP="009259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FA">
              <w:rPr>
                <w:rFonts w:ascii="Arial" w:hAnsi="Arial" w:cs="Arial"/>
                <w:sz w:val="20"/>
                <w:szCs w:val="20"/>
              </w:rPr>
              <w:t>3,272,132,383</w:t>
            </w:r>
          </w:p>
        </w:tc>
      </w:tr>
      <w:tr w:rsidR="009259C7" w:rsidTr="009259C7">
        <w:tc>
          <w:tcPr>
            <w:tcW w:w="558" w:type="dxa"/>
          </w:tcPr>
          <w:p w:rsidR="009259C7" w:rsidRDefault="009259C7" w:rsidP="009259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4230" w:type="dxa"/>
          </w:tcPr>
          <w:p w:rsidR="009259C7" w:rsidRDefault="009259C7" w:rsidP="009259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  <w:p w:rsidR="009259C7" w:rsidRDefault="009259C7" w:rsidP="009259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which:</w:t>
            </w:r>
          </w:p>
          <w:p w:rsidR="009259C7" w:rsidRDefault="009259C7" w:rsidP="009259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After-tax profit of the holding company </w:t>
            </w:r>
          </w:p>
          <w:p w:rsidR="009259C7" w:rsidRDefault="009259C7" w:rsidP="009259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After-tax profit of uncontrolled shareholders</w:t>
            </w:r>
          </w:p>
        </w:tc>
        <w:tc>
          <w:tcPr>
            <w:tcW w:w="2394" w:type="dxa"/>
          </w:tcPr>
          <w:p w:rsidR="009259C7" w:rsidRDefault="009259C7" w:rsidP="009259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FA">
              <w:rPr>
                <w:rFonts w:ascii="Arial" w:hAnsi="Arial" w:cs="Arial"/>
                <w:sz w:val="20"/>
                <w:szCs w:val="20"/>
              </w:rPr>
              <w:t>3,125,612,501</w:t>
            </w:r>
          </w:p>
          <w:p w:rsidR="009259C7" w:rsidRDefault="009259C7" w:rsidP="009259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9C7" w:rsidRDefault="009259C7" w:rsidP="009259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FA">
              <w:rPr>
                <w:rFonts w:ascii="Arial" w:hAnsi="Arial" w:cs="Arial"/>
                <w:sz w:val="20"/>
                <w:szCs w:val="20"/>
              </w:rPr>
              <w:t>2,595,849,041</w:t>
            </w:r>
          </w:p>
          <w:p w:rsidR="009259C7" w:rsidRDefault="009259C7" w:rsidP="009259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FA">
              <w:rPr>
                <w:rFonts w:ascii="Arial" w:hAnsi="Arial" w:cs="Arial"/>
                <w:sz w:val="20"/>
                <w:szCs w:val="20"/>
              </w:rPr>
              <w:t>529,763,460</w:t>
            </w:r>
          </w:p>
        </w:tc>
        <w:tc>
          <w:tcPr>
            <w:tcW w:w="2394" w:type="dxa"/>
          </w:tcPr>
          <w:p w:rsidR="009259C7" w:rsidRDefault="009259C7" w:rsidP="009259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FA">
              <w:rPr>
                <w:rFonts w:ascii="Arial" w:hAnsi="Arial" w:cs="Arial"/>
                <w:sz w:val="20"/>
                <w:szCs w:val="20"/>
              </w:rPr>
              <w:t>2,589,839,127</w:t>
            </w:r>
          </w:p>
        </w:tc>
      </w:tr>
    </w:tbl>
    <w:p w:rsidR="00EE4AFA" w:rsidRDefault="00EE4AFA" w:rsidP="00EE4A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4AFA" w:rsidRDefault="009259C7" w:rsidP="00EE4A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The annual General Meeting of Shareholders approved</w:t>
      </w:r>
      <w:r w:rsidR="00EE4AFA" w:rsidRPr="00EE4AFA">
        <w:rPr>
          <w:rFonts w:ascii="Arial" w:hAnsi="Arial" w:cs="Arial"/>
          <w:sz w:val="20"/>
          <w:szCs w:val="20"/>
        </w:rPr>
        <w:t xml:space="preserve"> remuneration for the Board of D</w:t>
      </w:r>
      <w:r>
        <w:rPr>
          <w:rFonts w:ascii="Arial" w:hAnsi="Arial" w:cs="Arial"/>
          <w:sz w:val="20"/>
          <w:szCs w:val="20"/>
        </w:rPr>
        <w:t>irectors, the Supervisory Board</w:t>
      </w:r>
      <w:r w:rsidR="00EE4AFA" w:rsidRPr="00EE4AFA">
        <w:rPr>
          <w:rFonts w:ascii="Arial" w:hAnsi="Arial" w:cs="Arial"/>
          <w:sz w:val="20"/>
          <w:szCs w:val="20"/>
        </w:rPr>
        <w:t xml:space="preserve"> and the Secretary of the Board of Directors </w:t>
      </w:r>
      <w:r>
        <w:rPr>
          <w:rFonts w:ascii="Arial" w:hAnsi="Arial" w:cs="Arial"/>
          <w:sz w:val="20"/>
          <w:szCs w:val="20"/>
        </w:rPr>
        <w:t xml:space="preserve">in </w:t>
      </w:r>
      <w:r w:rsidR="00EE4AFA" w:rsidRPr="00EE4AFA">
        <w:rPr>
          <w:rFonts w:ascii="Arial" w:hAnsi="Arial" w:cs="Arial"/>
          <w:sz w:val="20"/>
          <w:szCs w:val="20"/>
        </w:rPr>
        <w:t xml:space="preserve">2020 according to </w:t>
      </w:r>
      <w:r>
        <w:rPr>
          <w:rFonts w:ascii="Arial" w:hAnsi="Arial" w:cs="Arial"/>
          <w:sz w:val="20"/>
          <w:szCs w:val="20"/>
        </w:rPr>
        <w:t>Statement No.06/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>-HD</w:t>
      </w:r>
      <w:r w:rsidR="00EE4AFA" w:rsidRPr="00EE4AFA">
        <w:rPr>
          <w:rFonts w:ascii="Arial" w:hAnsi="Arial" w:cs="Arial"/>
          <w:sz w:val="20"/>
          <w:szCs w:val="20"/>
        </w:rPr>
        <w:t>QT of the Company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4317"/>
        <w:gridCol w:w="2393"/>
        <w:gridCol w:w="2394"/>
      </w:tblGrid>
      <w:tr w:rsidR="009259C7" w:rsidTr="007C3725">
        <w:tc>
          <w:tcPr>
            <w:tcW w:w="472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17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393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2394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(VND/person/month)</w:t>
            </w:r>
          </w:p>
        </w:tc>
      </w:tr>
      <w:tr w:rsidR="009259C7" w:rsidTr="007C3725">
        <w:tc>
          <w:tcPr>
            <w:tcW w:w="472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317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2393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94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9C7" w:rsidTr="007C3725">
        <w:tc>
          <w:tcPr>
            <w:tcW w:w="472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7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the Board of Directors </w:t>
            </w:r>
          </w:p>
        </w:tc>
        <w:tc>
          <w:tcPr>
            <w:tcW w:w="2393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5,000,000</w:t>
            </w:r>
          </w:p>
        </w:tc>
      </w:tr>
      <w:tr w:rsidR="009259C7" w:rsidTr="007C3725">
        <w:tc>
          <w:tcPr>
            <w:tcW w:w="472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7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Board of Directors </w:t>
            </w:r>
          </w:p>
        </w:tc>
        <w:tc>
          <w:tcPr>
            <w:tcW w:w="2393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4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3,000,000</w:t>
            </w:r>
          </w:p>
        </w:tc>
      </w:tr>
      <w:tr w:rsidR="009259C7" w:rsidTr="007C3725">
        <w:tc>
          <w:tcPr>
            <w:tcW w:w="472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317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Supervisor Board </w:t>
            </w:r>
          </w:p>
        </w:tc>
        <w:tc>
          <w:tcPr>
            <w:tcW w:w="2393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9C7" w:rsidTr="007C3725">
        <w:tc>
          <w:tcPr>
            <w:tcW w:w="472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7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the Supervisor Board </w:t>
            </w:r>
          </w:p>
        </w:tc>
        <w:tc>
          <w:tcPr>
            <w:tcW w:w="2393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2,000,000</w:t>
            </w:r>
          </w:p>
        </w:tc>
      </w:tr>
      <w:tr w:rsidR="009259C7" w:rsidTr="007C3725">
        <w:tc>
          <w:tcPr>
            <w:tcW w:w="472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7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Supervisor Board </w:t>
            </w:r>
          </w:p>
        </w:tc>
        <w:tc>
          <w:tcPr>
            <w:tcW w:w="2393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4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1,000,000</w:t>
            </w:r>
          </w:p>
        </w:tc>
      </w:tr>
      <w:tr w:rsidR="009259C7" w:rsidTr="007C3725">
        <w:tc>
          <w:tcPr>
            <w:tcW w:w="472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4317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Secretary of the Board of Directors </w:t>
            </w:r>
          </w:p>
        </w:tc>
        <w:tc>
          <w:tcPr>
            <w:tcW w:w="2393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:rsidR="009259C7" w:rsidRDefault="009259C7" w:rsidP="00EE4A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725" w:rsidTr="007C3725">
        <w:tc>
          <w:tcPr>
            <w:tcW w:w="472" w:type="dxa"/>
          </w:tcPr>
          <w:p w:rsidR="007C3725" w:rsidRDefault="007C3725" w:rsidP="007C37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7" w:type="dxa"/>
          </w:tcPr>
          <w:p w:rsidR="007C3725" w:rsidRDefault="007C3725" w:rsidP="007C37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Secretary of the Board of Directors </w:t>
            </w:r>
          </w:p>
        </w:tc>
        <w:tc>
          <w:tcPr>
            <w:tcW w:w="2393" w:type="dxa"/>
          </w:tcPr>
          <w:p w:rsidR="007C3725" w:rsidRDefault="007C3725" w:rsidP="007C37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:rsidR="007C3725" w:rsidRDefault="007C3725" w:rsidP="007C37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1,500,000</w:t>
            </w:r>
          </w:p>
        </w:tc>
      </w:tr>
    </w:tbl>
    <w:p w:rsidR="009259C7" w:rsidRDefault="009259C7" w:rsidP="00EE4A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3725" w:rsidRDefault="007C3725" w:rsidP="007C37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3725">
        <w:rPr>
          <w:rFonts w:ascii="Arial" w:hAnsi="Arial" w:cs="Arial"/>
          <w:sz w:val="20"/>
          <w:szCs w:val="20"/>
        </w:rPr>
        <w:t xml:space="preserve">6.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7C3725">
        <w:rPr>
          <w:rFonts w:ascii="Arial" w:hAnsi="Arial" w:cs="Arial"/>
          <w:sz w:val="20"/>
          <w:szCs w:val="20"/>
        </w:rPr>
        <w:t xml:space="preserve"> approved the profit distribution plan for 2019 in </w:t>
      </w:r>
      <w:r>
        <w:rPr>
          <w:rFonts w:ascii="Arial" w:hAnsi="Arial" w:cs="Arial"/>
          <w:sz w:val="20"/>
          <w:szCs w:val="20"/>
        </w:rPr>
        <w:t>Statement No.</w:t>
      </w:r>
      <w:r w:rsidRPr="007C3725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>-HD</w:t>
      </w:r>
      <w:r w:rsidRPr="007C3725">
        <w:rPr>
          <w:rFonts w:ascii="Arial" w:hAnsi="Arial" w:cs="Arial"/>
          <w:sz w:val="20"/>
          <w:szCs w:val="20"/>
        </w:rPr>
        <w:t xml:space="preserve">QT, accordingly, not </w:t>
      </w:r>
      <w:r>
        <w:rPr>
          <w:rFonts w:ascii="Arial" w:hAnsi="Arial" w:cs="Arial"/>
          <w:sz w:val="20"/>
          <w:szCs w:val="20"/>
        </w:rPr>
        <w:t xml:space="preserve">yet </w:t>
      </w:r>
      <w:r w:rsidRPr="007C3725">
        <w:rPr>
          <w:rFonts w:ascii="Arial" w:hAnsi="Arial" w:cs="Arial"/>
          <w:sz w:val="20"/>
          <w:szCs w:val="20"/>
        </w:rPr>
        <w:t xml:space="preserve">considered the dividend distribution in 2019 to supplement the capital to contribute capital to </w:t>
      </w:r>
      <w:r>
        <w:rPr>
          <w:rFonts w:ascii="Arial" w:hAnsi="Arial" w:cs="Arial"/>
          <w:sz w:val="20"/>
          <w:szCs w:val="20"/>
        </w:rPr>
        <w:t>Bac Qua</w:t>
      </w:r>
      <w:r w:rsidRPr="007C3725">
        <w:rPr>
          <w:rFonts w:ascii="Arial" w:hAnsi="Arial" w:cs="Arial"/>
          <w:sz w:val="20"/>
          <w:szCs w:val="20"/>
        </w:rPr>
        <w:t xml:space="preserve"> </w:t>
      </w:r>
      <w:r w:rsidRPr="007C3725">
        <w:rPr>
          <w:rFonts w:ascii="Arial" w:hAnsi="Arial" w:cs="Arial"/>
          <w:sz w:val="20"/>
          <w:szCs w:val="20"/>
        </w:rPr>
        <w:t xml:space="preserve">Service and Trading </w:t>
      </w:r>
      <w:r w:rsidRPr="007C3725">
        <w:rPr>
          <w:rFonts w:ascii="Arial" w:hAnsi="Arial" w:cs="Arial"/>
          <w:sz w:val="20"/>
          <w:szCs w:val="20"/>
        </w:rPr>
        <w:t>Join</w:t>
      </w:r>
      <w:r>
        <w:rPr>
          <w:rFonts w:ascii="Arial" w:hAnsi="Arial" w:cs="Arial"/>
          <w:sz w:val="20"/>
          <w:szCs w:val="20"/>
        </w:rPr>
        <w:t>t Stock Company</w:t>
      </w:r>
    </w:p>
    <w:p w:rsidR="007C3725" w:rsidRDefault="007C3725" w:rsidP="007C37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7C372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7C3725">
        <w:rPr>
          <w:rFonts w:ascii="Arial" w:hAnsi="Arial" w:cs="Arial"/>
          <w:sz w:val="20"/>
          <w:szCs w:val="20"/>
        </w:rPr>
        <w:t xml:space="preserve"> passed the Proposal on selecting </w:t>
      </w:r>
      <w:r>
        <w:rPr>
          <w:rFonts w:ascii="Arial" w:hAnsi="Arial" w:cs="Arial"/>
          <w:sz w:val="20"/>
          <w:szCs w:val="20"/>
        </w:rPr>
        <w:t>an auditing unit for</w:t>
      </w:r>
      <w:r w:rsidRPr="007C3725">
        <w:rPr>
          <w:rFonts w:ascii="Arial" w:hAnsi="Arial" w:cs="Arial"/>
          <w:sz w:val="20"/>
          <w:szCs w:val="20"/>
        </w:rPr>
        <w:t xml:space="preserve"> 2020 according to the content of </w:t>
      </w:r>
      <w:r>
        <w:rPr>
          <w:rFonts w:ascii="Arial" w:hAnsi="Arial" w:cs="Arial"/>
          <w:sz w:val="20"/>
          <w:szCs w:val="20"/>
        </w:rPr>
        <w:t>statement No.01/</w:t>
      </w:r>
      <w:proofErr w:type="spellStart"/>
      <w:r w:rsidRPr="007C3725">
        <w:rPr>
          <w:rFonts w:ascii="Arial" w:hAnsi="Arial" w:cs="Arial"/>
          <w:sz w:val="20"/>
          <w:szCs w:val="20"/>
        </w:rPr>
        <w:t>TTr</w:t>
      </w:r>
      <w:proofErr w:type="spellEnd"/>
      <w:r w:rsidRPr="007C3725">
        <w:rPr>
          <w:rFonts w:ascii="Arial" w:hAnsi="Arial" w:cs="Arial"/>
          <w:sz w:val="20"/>
          <w:szCs w:val="20"/>
        </w:rPr>
        <w:t xml:space="preserve"> - BKS, authorizing the Board of Directors to select </w:t>
      </w:r>
      <w:r>
        <w:rPr>
          <w:rFonts w:ascii="Arial" w:hAnsi="Arial" w:cs="Arial"/>
          <w:sz w:val="20"/>
          <w:szCs w:val="20"/>
        </w:rPr>
        <w:t>the auditing company</w:t>
      </w:r>
    </w:p>
    <w:p w:rsidR="007C3725" w:rsidRDefault="007C3725" w:rsidP="007C37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3725">
        <w:rPr>
          <w:rFonts w:ascii="Arial" w:hAnsi="Arial" w:cs="Arial"/>
          <w:sz w:val="20"/>
          <w:szCs w:val="20"/>
        </w:rPr>
        <w:lastRenderedPageBreak/>
        <w:t xml:space="preserve">8. The </w:t>
      </w:r>
      <w:r>
        <w:rPr>
          <w:rFonts w:ascii="Arial" w:hAnsi="Arial" w:cs="Arial"/>
          <w:sz w:val="20"/>
          <w:szCs w:val="20"/>
        </w:rPr>
        <w:t>annual General Meeting of Shareholders approved the capital contribution to the</w:t>
      </w:r>
      <w:r w:rsidRPr="007C3725">
        <w:rPr>
          <w:rFonts w:ascii="Arial" w:hAnsi="Arial" w:cs="Arial"/>
          <w:sz w:val="20"/>
          <w:szCs w:val="20"/>
        </w:rPr>
        <w:t xml:space="preserve"> subsidiary </w:t>
      </w:r>
      <w:r>
        <w:rPr>
          <w:rFonts w:ascii="Arial" w:hAnsi="Arial" w:cs="Arial"/>
          <w:sz w:val="20"/>
          <w:szCs w:val="20"/>
        </w:rPr>
        <w:t>-</w:t>
      </w:r>
      <w:r w:rsidRPr="007C3725">
        <w:rPr>
          <w:rFonts w:ascii="Arial" w:hAnsi="Arial" w:cs="Arial"/>
          <w:sz w:val="20"/>
          <w:szCs w:val="20"/>
        </w:rPr>
        <w:t xml:space="preserve"> Bac Qua Service and Trading Joint Stock Company, according to the content of </w:t>
      </w:r>
      <w:r>
        <w:rPr>
          <w:rFonts w:ascii="Arial" w:hAnsi="Arial" w:cs="Arial"/>
          <w:sz w:val="20"/>
          <w:szCs w:val="20"/>
        </w:rPr>
        <w:t>statement No.07/</w:t>
      </w:r>
      <w:proofErr w:type="spellStart"/>
      <w:r w:rsidRPr="007C3725">
        <w:rPr>
          <w:rFonts w:ascii="Arial" w:hAnsi="Arial" w:cs="Arial"/>
          <w:sz w:val="20"/>
          <w:szCs w:val="20"/>
        </w:rPr>
        <w:t>TTr</w:t>
      </w:r>
      <w:proofErr w:type="spellEnd"/>
      <w:r w:rsidRPr="007C372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HDQT.</w:t>
      </w:r>
      <w:r w:rsidRPr="007C3725">
        <w:rPr>
          <w:rFonts w:ascii="Arial" w:hAnsi="Arial" w:cs="Arial"/>
          <w:sz w:val="20"/>
          <w:szCs w:val="20"/>
        </w:rPr>
        <w:t xml:space="preserve"> Specifically: </w:t>
      </w:r>
    </w:p>
    <w:p w:rsidR="007C3725" w:rsidRDefault="007C3725" w:rsidP="007C37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Charter</w:t>
      </w:r>
      <w:r w:rsidRPr="007C3725">
        <w:rPr>
          <w:rFonts w:ascii="Arial" w:hAnsi="Arial" w:cs="Arial"/>
          <w:sz w:val="20"/>
          <w:szCs w:val="20"/>
        </w:rPr>
        <w:t xml:space="preserve"> capital of </w:t>
      </w:r>
      <w:r w:rsidRPr="007C3725">
        <w:rPr>
          <w:rFonts w:ascii="Arial" w:hAnsi="Arial" w:cs="Arial"/>
          <w:sz w:val="20"/>
          <w:szCs w:val="20"/>
        </w:rPr>
        <w:t>Bac Qua Service and Trading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7C3725">
        <w:rPr>
          <w:rFonts w:ascii="Arial" w:hAnsi="Arial" w:cs="Arial"/>
          <w:sz w:val="20"/>
          <w:szCs w:val="20"/>
        </w:rPr>
        <w:t xml:space="preserve">increased </w:t>
      </w:r>
      <w:r>
        <w:rPr>
          <w:rFonts w:ascii="Arial" w:hAnsi="Arial" w:cs="Arial"/>
          <w:sz w:val="20"/>
          <w:szCs w:val="20"/>
        </w:rPr>
        <w:t>by VND 22 billion</w:t>
      </w:r>
    </w:p>
    <w:p w:rsidR="007C3725" w:rsidRDefault="007C3725" w:rsidP="007C37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3725">
        <w:rPr>
          <w:rFonts w:ascii="Arial" w:hAnsi="Arial" w:cs="Arial"/>
          <w:sz w:val="20"/>
          <w:szCs w:val="20"/>
        </w:rPr>
        <w:t xml:space="preserve">- Hanoi Foodstuff Joint Stock Company </w:t>
      </w:r>
      <w:r>
        <w:rPr>
          <w:rFonts w:ascii="Arial" w:hAnsi="Arial" w:cs="Arial"/>
          <w:sz w:val="20"/>
          <w:szCs w:val="20"/>
        </w:rPr>
        <w:t>will contribute VND 11.</w:t>
      </w:r>
      <w:r w:rsidRPr="007C3725">
        <w:rPr>
          <w:rFonts w:ascii="Arial" w:hAnsi="Arial" w:cs="Arial"/>
          <w:sz w:val="20"/>
          <w:szCs w:val="20"/>
        </w:rPr>
        <w:t xml:space="preserve">660 million to maintain the ownership rate of 53% of the charter capital of Bac Qua Service and </w:t>
      </w:r>
      <w:r>
        <w:rPr>
          <w:rFonts w:ascii="Arial" w:hAnsi="Arial" w:cs="Arial"/>
          <w:sz w:val="20"/>
          <w:szCs w:val="20"/>
        </w:rPr>
        <w:t>Trading Joint Stock Company</w:t>
      </w:r>
    </w:p>
    <w:p w:rsidR="007C3725" w:rsidRDefault="007C3725" w:rsidP="007C37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7C372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7C3725">
        <w:rPr>
          <w:rFonts w:ascii="Arial" w:hAnsi="Arial" w:cs="Arial"/>
          <w:sz w:val="20"/>
          <w:szCs w:val="20"/>
        </w:rPr>
        <w:t xml:space="preserve"> passed the election results to members of the Board of Directors, Supervisory Board of Hanoi Foodstuff Joint Stock Company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7C3725">
        <w:rPr>
          <w:rFonts w:ascii="Arial" w:hAnsi="Arial" w:cs="Arial"/>
          <w:sz w:val="20"/>
          <w:szCs w:val="20"/>
        </w:rPr>
        <w:t xml:space="preserve">2020-2025 </w:t>
      </w:r>
    </w:p>
    <w:p w:rsidR="007C3725" w:rsidRDefault="007C3725" w:rsidP="007C37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</w:t>
      </w:r>
      <w:r w:rsidRPr="007C3725">
        <w:rPr>
          <w:rFonts w:ascii="Arial" w:hAnsi="Arial" w:cs="Arial"/>
          <w:sz w:val="20"/>
          <w:szCs w:val="20"/>
        </w:rPr>
        <w:t xml:space="preserve"> Election results</w:t>
      </w:r>
      <w:r>
        <w:rPr>
          <w:rFonts w:ascii="Arial" w:hAnsi="Arial" w:cs="Arial"/>
          <w:sz w:val="20"/>
          <w:szCs w:val="20"/>
        </w:rPr>
        <w:t xml:space="preserve"> for m</w:t>
      </w:r>
      <w:r w:rsidRPr="007C3725">
        <w:rPr>
          <w:rFonts w:ascii="Arial" w:hAnsi="Arial" w:cs="Arial"/>
          <w:sz w:val="20"/>
          <w:szCs w:val="20"/>
        </w:rPr>
        <w:t>ember</w:t>
      </w:r>
      <w:r>
        <w:rPr>
          <w:rFonts w:ascii="Arial" w:hAnsi="Arial" w:cs="Arial"/>
          <w:sz w:val="20"/>
          <w:szCs w:val="20"/>
        </w:rPr>
        <w:t>s</w:t>
      </w:r>
      <w:r w:rsidRPr="007C3725">
        <w:rPr>
          <w:rFonts w:ascii="Arial" w:hAnsi="Arial" w:cs="Arial"/>
          <w:sz w:val="20"/>
          <w:szCs w:val="20"/>
        </w:rPr>
        <w:t xml:space="preserve"> of the Board of Directors for the term of 2015-2020: </w:t>
      </w:r>
    </w:p>
    <w:p w:rsidR="007C3725" w:rsidRDefault="007C3725" w:rsidP="007C37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C3725">
        <w:rPr>
          <w:rFonts w:ascii="Arial" w:hAnsi="Arial" w:cs="Arial"/>
          <w:sz w:val="20"/>
          <w:szCs w:val="20"/>
        </w:rPr>
        <w:t xml:space="preserve">Mr. Vu </w:t>
      </w:r>
      <w:proofErr w:type="spellStart"/>
      <w:r w:rsidRPr="007C3725">
        <w:rPr>
          <w:rFonts w:ascii="Arial" w:hAnsi="Arial" w:cs="Arial"/>
          <w:sz w:val="20"/>
          <w:szCs w:val="20"/>
        </w:rPr>
        <w:t>Thanh</w:t>
      </w:r>
      <w:proofErr w:type="spellEnd"/>
      <w:r w:rsidRPr="007C3725">
        <w:rPr>
          <w:rFonts w:ascii="Arial" w:hAnsi="Arial" w:cs="Arial"/>
          <w:sz w:val="20"/>
          <w:szCs w:val="20"/>
        </w:rPr>
        <w:t xml:space="preserve"> Son </w:t>
      </w:r>
    </w:p>
    <w:p w:rsidR="007C3725" w:rsidRDefault="007C3725" w:rsidP="007C37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C3725">
        <w:rPr>
          <w:rFonts w:ascii="Arial" w:hAnsi="Arial" w:cs="Arial"/>
          <w:sz w:val="20"/>
          <w:szCs w:val="20"/>
        </w:rPr>
        <w:t xml:space="preserve">Mr. Pham Tuan </w:t>
      </w:r>
      <w:proofErr w:type="spellStart"/>
      <w:r w:rsidRPr="007C3725">
        <w:rPr>
          <w:rFonts w:ascii="Arial" w:hAnsi="Arial" w:cs="Arial"/>
          <w:sz w:val="20"/>
          <w:szCs w:val="20"/>
        </w:rPr>
        <w:t>Linh</w:t>
      </w:r>
      <w:proofErr w:type="spellEnd"/>
      <w:r w:rsidRPr="007C3725">
        <w:rPr>
          <w:rFonts w:ascii="Arial" w:hAnsi="Arial" w:cs="Arial"/>
          <w:sz w:val="20"/>
          <w:szCs w:val="20"/>
        </w:rPr>
        <w:t xml:space="preserve"> </w:t>
      </w:r>
    </w:p>
    <w:p w:rsidR="007C3725" w:rsidRDefault="007C3725" w:rsidP="007C37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C3725">
        <w:rPr>
          <w:rFonts w:ascii="Arial" w:hAnsi="Arial" w:cs="Arial"/>
          <w:sz w:val="20"/>
          <w:szCs w:val="20"/>
        </w:rPr>
        <w:t xml:space="preserve">Ms. Tran Hue </w:t>
      </w:r>
      <w:proofErr w:type="spellStart"/>
      <w:r w:rsidRPr="007C3725">
        <w:rPr>
          <w:rFonts w:ascii="Arial" w:hAnsi="Arial" w:cs="Arial"/>
          <w:sz w:val="20"/>
          <w:szCs w:val="20"/>
        </w:rPr>
        <w:t>Linh</w:t>
      </w:r>
      <w:proofErr w:type="spellEnd"/>
      <w:r w:rsidRPr="007C3725">
        <w:rPr>
          <w:rFonts w:ascii="Arial" w:hAnsi="Arial" w:cs="Arial"/>
          <w:sz w:val="20"/>
          <w:szCs w:val="20"/>
        </w:rPr>
        <w:t xml:space="preserve"> </w:t>
      </w:r>
    </w:p>
    <w:p w:rsidR="007C3725" w:rsidRDefault="007C3725" w:rsidP="007C37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C3725">
        <w:rPr>
          <w:rFonts w:ascii="Arial" w:hAnsi="Arial" w:cs="Arial"/>
          <w:sz w:val="20"/>
          <w:szCs w:val="20"/>
        </w:rPr>
        <w:t xml:space="preserve">Mr. Ngo </w:t>
      </w:r>
      <w:proofErr w:type="spellStart"/>
      <w:r w:rsidRPr="007C3725">
        <w:rPr>
          <w:rFonts w:ascii="Arial" w:hAnsi="Arial" w:cs="Arial"/>
          <w:sz w:val="20"/>
          <w:szCs w:val="20"/>
        </w:rPr>
        <w:t>Duc</w:t>
      </w:r>
      <w:proofErr w:type="spellEnd"/>
      <w:r w:rsidRPr="007C3725">
        <w:rPr>
          <w:rFonts w:ascii="Arial" w:hAnsi="Arial" w:cs="Arial"/>
          <w:sz w:val="20"/>
          <w:szCs w:val="20"/>
        </w:rPr>
        <w:t xml:space="preserve"> Long </w:t>
      </w:r>
    </w:p>
    <w:p w:rsidR="007C3725" w:rsidRDefault="007C3725" w:rsidP="007C37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C3725">
        <w:rPr>
          <w:rFonts w:ascii="Arial" w:hAnsi="Arial" w:cs="Arial"/>
          <w:sz w:val="20"/>
          <w:szCs w:val="20"/>
        </w:rPr>
        <w:t xml:space="preserve">Ms. Pham Diem </w:t>
      </w:r>
      <w:proofErr w:type="spellStart"/>
      <w:r w:rsidRPr="007C3725">
        <w:rPr>
          <w:rFonts w:ascii="Arial" w:hAnsi="Arial" w:cs="Arial"/>
          <w:sz w:val="20"/>
          <w:szCs w:val="20"/>
        </w:rPr>
        <w:t>Hoa</w:t>
      </w:r>
      <w:proofErr w:type="spellEnd"/>
      <w:r w:rsidRPr="007C3725">
        <w:rPr>
          <w:rFonts w:ascii="Arial" w:hAnsi="Arial" w:cs="Arial"/>
          <w:sz w:val="20"/>
          <w:szCs w:val="20"/>
        </w:rPr>
        <w:t xml:space="preserve"> </w:t>
      </w:r>
    </w:p>
    <w:p w:rsidR="007C3725" w:rsidRDefault="007C3725" w:rsidP="007C37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</w:t>
      </w:r>
      <w:r w:rsidRPr="007C3725">
        <w:rPr>
          <w:rFonts w:ascii="Arial" w:hAnsi="Arial" w:cs="Arial"/>
          <w:sz w:val="20"/>
          <w:szCs w:val="20"/>
        </w:rPr>
        <w:t xml:space="preserve"> Election results </w:t>
      </w:r>
      <w:r>
        <w:rPr>
          <w:rFonts w:ascii="Arial" w:hAnsi="Arial" w:cs="Arial"/>
          <w:sz w:val="20"/>
          <w:szCs w:val="20"/>
        </w:rPr>
        <w:t>for m</w:t>
      </w:r>
      <w:r w:rsidRPr="007C3725">
        <w:rPr>
          <w:rFonts w:ascii="Arial" w:hAnsi="Arial" w:cs="Arial"/>
          <w:sz w:val="20"/>
          <w:szCs w:val="20"/>
        </w:rPr>
        <w:t xml:space="preserve">ember of the Supervisory Board </w:t>
      </w:r>
      <w:r>
        <w:rPr>
          <w:rFonts w:ascii="Arial" w:hAnsi="Arial" w:cs="Arial"/>
          <w:sz w:val="20"/>
          <w:szCs w:val="20"/>
        </w:rPr>
        <w:t xml:space="preserve">of the </w:t>
      </w:r>
      <w:r w:rsidRPr="007C3725">
        <w:rPr>
          <w:rFonts w:ascii="Arial" w:hAnsi="Arial" w:cs="Arial"/>
          <w:sz w:val="20"/>
          <w:szCs w:val="20"/>
        </w:rPr>
        <w:t xml:space="preserve">Company </w:t>
      </w:r>
      <w:r>
        <w:rPr>
          <w:rFonts w:ascii="Arial" w:hAnsi="Arial" w:cs="Arial"/>
          <w:sz w:val="20"/>
          <w:szCs w:val="20"/>
        </w:rPr>
        <w:t xml:space="preserve">for </w:t>
      </w:r>
      <w:r w:rsidRPr="007C3725">
        <w:rPr>
          <w:rFonts w:ascii="Arial" w:hAnsi="Arial" w:cs="Arial"/>
          <w:sz w:val="20"/>
          <w:szCs w:val="20"/>
        </w:rPr>
        <w:t xml:space="preserve">term </w:t>
      </w:r>
      <w:r>
        <w:rPr>
          <w:rFonts w:ascii="Arial" w:hAnsi="Arial" w:cs="Arial"/>
          <w:sz w:val="20"/>
          <w:szCs w:val="20"/>
        </w:rPr>
        <w:t xml:space="preserve">of </w:t>
      </w:r>
      <w:r w:rsidRPr="007C3725">
        <w:rPr>
          <w:rFonts w:ascii="Arial" w:hAnsi="Arial" w:cs="Arial"/>
          <w:sz w:val="20"/>
          <w:szCs w:val="20"/>
        </w:rPr>
        <w:t xml:space="preserve">2015-2020: </w:t>
      </w:r>
    </w:p>
    <w:p w:rsidR="007C3725" w:rsidRDefault="007C3725" w:rsidP="007C37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C3725">
        <w:rPr>
          <w:rFonts w:ascii="Arial" w:hAnsi="Arial" w:cs="Arial"/>
          <w:sz w:val="20"/>
          <w:szCs w:val="20"/>
        </w:rPr>
        <w:t xml:space="preserve"> Ms. Tran </w:t>
      </w:r>
      <w:proofErr w:type="spellStart"/>
      <w:r w:rsidRPr="007C3725">
        <w:rPr>
          <w:rFonts w:ascii="Arial" w:hAnsi="Arial" w:cs="Arial"/>
          <w:sz w:val="20"/>
          <w:szCs w:val="20"/>
        </w:rPr>
        <w:t>Dieu</w:t>
      </w:r>
      <w:proofErr w:type="spellEnd"/>
      <w:r w:rsidRPr="007C37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3725">
        <w:rPr>
          <w:rFonts w:ascii="Arial" w:hAnsi="Arial" w:cs="Arial"/>
          <w:sz w:val="20"/>
          <w:szCs w:val="20"/>
        </w:rPr>
        <w:t>Thuy</w:t>
      </w:r>
      <w:proofErr w:type="spellEnd"/>
      <w:r w:rsidRPr="007C3725">
        <w:rPr>
          <w:rFonts w:ascii="Arial" w:hAnsi="Arial" w:cs="Arial"/>
          <w:sz w:val="20"/>
          <w:szCs w:val="20"/>
        </w:rPr>
        <w:t xml:space="preserve"> </w:t>
      </w:r>
    </w:p>
    <w:p w:rsidR="007C3725" w:rsidRDefault="007C3725" w:rsidP="007C37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C3725">
        <w:rPr>
          <w:rFonts w:ascii="Arial" w:hAnsi="Arial" w:cs="Arial"/>
          <w:sz w:val="20"/>
          <w:szCs w:val="20"/>
        </w:rPr>
        <w:t xml:space="preserve">Mr. Do </w:t>
      </w:r>
      <w:proofErr w:type="spellStart"/>
      <w:r w:rsidRPr="007C3725">
        <w:rPr>
          <w:rFonts w:ascii="Arial" w:hAnsi="Arial" w:cs="Arial"/>
          <w:sz w:val="20"/>
          <w:szCs w:val="20"/>
        </w:rPr>
        <w:t>Quang</w:t>
      </w:r>
      <w:proofErr w:type="spellEnd"/>
      <w:r w:rsidRPr="007C37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3725">
        <w:rPr>
          <w:rFonts w:ascii="Arial" w:hAnsi="Arial" w:cs="Arial"/>
          <w:sz w:val="20"/>
          <w:szCs w:val="20"/>
        </w:rPr>
        <w:t>Huy</w:t>
      </w:r>
      <w:proofErr w:type="spellEnd"/>
      <w:r w:rsidRPr="007C3725">
        <w:rPr>
          <w:rFonts w:ascii="Arial" w:hAnsi="Arial" w:cs="Arial"/>
          <w:sz w:val="20"/>
          <w:szCs w:val="20"/>
        </w:rPr>
        <w:t xml:space="preserve"> </w:t>
      </w:r>
    </w:p>
    <w:p w:rsidR="007C3725" w:rsidRDefault="007C3725" w:rsidP="007C37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C3725">
        <w:rPr>
          <w:rFonts w:ascii="Arial" w:hAnsi="Arial" w:cs="Arial"/>
          <w:sz w:val="20"/>
          <w:szCs w:val="20"/>
        </w:rPr>
        <w:t xml:space="preserve">Mr. Nguyen Viet Thang </w:t>
      </w:r>
    </w:p>
    <w:p w:rsidR="00D30390" w:rsidRDefault="007C3725" w:rsidP="007C37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7C3725">
        <w:rPr>
          <w:rFonts w:ascii="Arial" w:hAnsi="Arial" w:cs="Arial"/>
          <w:sz w:val="20"/>
          <w:szCs w:val="20"/>
        </w:rPr>
        <w:t xml:space="preserve"> This </w:t>
      </w:r>
      <w:r>
        <w:rPr>
          <w:rFonts w:ascii="Arial" w:hAnsi="Arial" w:cs="Arial"/>
          <w:sz w:val="20"/>
          <w:szCs w:val="20"/>
        </w:rPr>
        <w:t>annual General Mandate was</w:t>
      </w:r>
      <w:r w:rsidRPr="007C3725">
        <w:rPr>
          <w:rFonts w:ascii="Arial" w:hAnsi="Arial" w:cs="Arial"/>
          <w:sz w:val="20"/>
          <w:szCs w:val="20"/>
        </w:rPr>
        <w:t xml:space="preserve"> approved by the </w:t>
      </w:r>
      <w:r w:rsidR="00D30390">
        <w:rPr>
          <w:rFonts w:ascii="Arial" w:hAnsi="Arial" w:cs="Arial"/>
          <w:sz w:val="20"/>
          <w:szCs w:val="20"/>
        </w:rPr>
        <w:t xml:space="preserve">annual General Meeting of Shareholders of </w:t>
      </w:r>
      <w:r w:rsidR="00D30390" w:rsidRPr="00D30390">
        <w:rPr>
          <w:rFonts w:ascii="Arial" w:hAnsi="Arial" w:cs="Arial"/>
          <w:sz w:val="20"/>
          <w:szCs w:val="20"/>
        </w:rPr>
        <w:t xml:space="preserve">Hanoi Foodstuff Joint Stock Company </w:t>
      </w:r>
      <w:r w:rsidRPr="007C3725">
        <w:rPr>
          <w:rFonts w:ascii="Arial" w:hAnsi="Arial" w:cs="Arial"/>
          <w:sz w:val="20"/>
          <w:szCs w:val="20"/>
        </w:rPr>
        <w:t xml:space="preserve">from the date of </w:t>
      </w:r>
      <w:r w:rsidR="00D30390">
        <w:rPr>
          <w:rFonts w:ascii="Arial" w:hAnsi="Arial" w:cs="Arial"/>
          <w:sz w:val="20"/>
          <w:szCs w:val="20"/>
        </w:rPr>
        <w:t>signing</w:t>
      </w:r>
      <w:r w:rsidRPr="007C3725">
        <w:rPr>
          <w:rFonts w:ascii="Arial" w:hAnsi="Arial" w:cs="Arial"/>
          <w:sz w:val="20"/>
          <w:szCs w:val="20"/>
        </w:rPr>
        <w:t xml:space="preserve"> and posted on the Company's website</w:t>
      </w:r>
      <w:r w:rsidR="00D30390">
        <w:rPr>
          <w:rFonts w:ascii="Arial" w:hAnsi="Arial" w:cs="Arial"/>
          <w:sz w:val="20"/>
          <w:szCs w:val="20"/>
        </w:rPr>
        <w:t xml:space="preserve"> </w:t>
      </w:r>
    </w:p>
    <w:p w:rsidR="007C3725" w:rsidRPr="007C3725" w:rsidRDefault="007C3725" w:rsidP="007C37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3725">
        <w:rPr>
          <w:rFonts w:ascii="Arial" w:hAnsi="Arial" w:cs="Arial"/>
          <w:sz w:val="20"/>
          <w:szCs w:val="20"/>
        </w:rPr>
        <w:t xml:space="preserve">The </w:t>
      </w:r>
      <w:r w:rsidR="00D30390">
        <w:rPr>
          <w:rFonts w:ascii="Arial" w:hAnsi="Arial" w:cs="Arial"/>
          <w:sz w:val="20"/>
          <w:szCs w:val="20"/>
        </w:rPr>
        <w:t>annual General Meeting of Shareholders assigned</w:t>
      </w:r>
      <w:r w:rsidRPr="007C3725">
        <w:rPr>
          <w:rFonts w:ascii="Arial" w:hAnsi="Arial" w:cs="Arial"/>
          <w:sz w:val="20"/>
          <w:szCs w:val="20"/>
        </w:rPr>
        <w:t xml:space="preserve"> the Board of Directors, Supervisory Board, and </w:t>
      </w:r>
      <w:r w:rsidR="00D30390">
        <w:rPr>
          <w:rFonts w:ascii="Arial" w:hAnsi="Arial" w:cs="Arial"/>
          <w:sz w:val="20"/>
          <w:szCs w:val="20"/>
        </w:rPr>
        <w:t>Management Board</w:t>
      </w:r>
      <w:r w:rsidRPr="007C3725">
        <w:rPr>
          <w:rFonts w:ascii="Arial" w:hAnsi="Arial" w:cs="Arial"/>
          <w:sz w:val="20"/>
          <w:szCs w:val="20"/>
        </w:rPr>
        <w:t xml:space="preserve"> of the Company to organize the implementation of the contents of the Resolution passed at the Annual General Me</w:t>
      </w:r>
      <w:r w:rsidR="00D30390">
        <w:rPr>
          <w:rFonts w:ascii="Arial" w:hAnsi="Arial" w:cs="Arial"/>
          <w:sz w:val="20"/>
          <w:szCs w:val="20"/>
        </w:rPr>
        <w:t xml:space="preserve">eting of Shareholders in 2020 of </w:t>
      </w:r>
      <w:r w:rsidR="00D30390" w:rsidRPr="00D30390">
        <w:rPr>
          <w:rFonts w:ascii="Arial" w:hAnsi="Arial" w:cs="Arial"/>
          <w:sz w:val="20"/>
          <w:szCs w:val="20"/>
        </w:rPr>
        <w:t>Hanoi Foods</w:t>
      </w:r>
      <w:bookmarkStart w:id="0" w:name="_GoBack"/>
      <w:bookmarkEnd w:id="0"/>
      <w:r w:rsidR="00D30390" w:rsidRPr="00D30390">
        <w:rPr>
          <w:rFonts w:ascii="Arial" w:hAnsi="Arial" w:cs="Arial"/>
          <w:sz w:val="20"/>
          <w:szCs w:val="20"/>
        </w:rPr>
        <w:t>tuff Joint Stock Company</w:t>
      </w:r>
    </w:p>
    <w:sectPr w:rsidR="007C3725" w:rsidRPr="007C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043C"/>
    <w:multiLevelType w:val="hybridMultilevel"/>
    <w:tmpl w:val="9422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469B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7024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D73E1"/>
    <w:rsid w:val="002E43D7"/>
    <w:rsid w:val="002E76E5"/>
    <w:rsid w:val="002E7FD0"/>
    <w:rsid w:val="002F689A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3F38AB"/>
    <w:rsid w:val="00403A9C"/>
    <w:rsid w:val="004115D9"/>
    <w:rsid w:val="00411E47"/>
    <w:rsid w:val="00420169"/>
    <w:rsid w:val="0042783A"/>
    <w:rsid w:val="0043345C"/>
    <w:rsid w:val="00433E4F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3F"/>
    <w:rsid w:val="004B4798"/>
    <w:rsid w:val="004C144F"/>
    <w:rsid w:val="004E4C16"/>
    <w:rsid w:val="004F3452"/>
    <w:rsid w:val="00503DD6"/>
    <w:rsid w:val="00505065"/>
    <w:rsid w:val="0052379D"/>
    <w:rsid w:val="0053093D"/>
    <w:rsid w:val="00534C35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04110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27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3725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28CB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259C7"/>
    <w:rsid w:val="009327E6"/>
    <w:rsid w:val="00934FC0"/>
    <w:rsid w:val="00936ABF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14EC9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948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7B4"/>
    <w:rsid w:val="00BB2980"/>
    <w:rsid w:val="00BD3CCA"/>
    <w:rsid w:val="00BD6969"/>
    <w:rsid w:val="00BE3B72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0AB7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2295D"/>
    <w:rsid w:val="00D30390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13AB"/>
    <w:rsid w:val="00E35884"/>
    <w:rsid w:val="00E43201"/>
    <w:rsid w:val="00E44453"/>
    <w:rsid w:val="00E47B26"/>
    <w:rsid w:val="00E51F4E"/>
    <w:rsid w:val="00E53A5C"/>
    <w:rsid w:val="00E5565D"/>
    <w:rsid w:val="00E65132"/>
    <w:rsid w:val="00E7691C"/>
    <w:rsid w:val="00E940FA"/>
    <w:rsid w:val="00E96289"/>
    <w:rsid w:val="00E96D65"/>
    <w:rsid w:val="00EA4C28"/>
    <w:rsid w:val="00EA6EE7"/>
    <w:rsid w:val="00EC2D2D"/>
    <w:rsid w:val="00EC37DE"/>
    <w:rsid w:val="00ED3B40"/>
    <w:rsid w:val="00ED6D41"/>
    <w:rsid w:val="00EE4AFA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754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325</cp:revision>
  <dcterms:created xsi:type="dcterms:W3CDTF">2019-10-16T10:03:00Z</dcterms:created>
  <dcterms:modified xsi:type="dcterms:W3CDTF">2020-07-04T07:31:00Z</dcterms:modified>
</cp:coreProperties>
</file>